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VAUBEZON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11.66666666666666666666666667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40 640,00 €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3,33 %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2,59 %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MER-06-080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80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27 120,00 €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1,86 %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1,36 %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