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Cervon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3 812,45 €/ha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66 461,68 €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6 832,44 €/ha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3 140,87 €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9 267,32 €/ha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342 254,18 €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16 438,87 €/ha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1 117 573,39 €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8 583,87 €/ha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12 968,51 €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16,28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8 807,20 €/ha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143 338,05 €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1 685 736,68 €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Chêne rouge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9 267,32 €/ha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342 254,18 €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Chênes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3 812,45 €/ha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66 461,68 €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FRF Frênes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FRE-07-070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8 583,87 €/ha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12 968,51 €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FRM Chêne rouge &amp; Douglas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3 416,22 €/ha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3 140,87 €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FRM Chêne rouge &amp; Douglas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8 215,58 €/ha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7 553,40 €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 FRR jeune Douglas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16 438,92 €/ha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1 110 019,99 €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 FRR jeune Mélèzes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9 069,66 €/ha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106 853,29 €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 FRR jeune Mélèzes dégradé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8 119,09 €/ha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36 484,75 €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1 685 736,68 €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