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Ravière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9 273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121 659,70 €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1,55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13,12 €/m³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90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1 186,46 €/ha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102,5400 ha</w:t>
            </w:r>
          </w:p>
        </w:tc>
        <w:tc>
          <w:tcPr>
            <w:tcW w:type="dxa" w:w="4320"/>
          </w:tcPr>
          <w:p/>
        </w:tc>
      </w:tr>
    </w:tbl>
    <w:p>
      <w:r/>
    </w:p>
    <w:p>
      <w:pPr>
        <w:jc w:val="center"/>
        <w:shd w:fill="F2F4F1"/>
      </w:pPr>
      <w:r>
        <w:rPr>
          <w:b w:val="0"/>
          <w:i w:val="0"/>
          <w:sz w:val="22"/>
        </w:rPr>
        <w:t>STRATE groupe 1 : 42% Chêne, 33% Hêtre, 21% None,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3,903.01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61,792.00 €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15.83 €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85.87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1 359,56 €/ha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45.45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6 824,60 €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18 200,60 €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2 356,00 €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4 923,40 €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1 524,40 €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10 903,00 €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4 273,40 €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4 152,80 €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4 393,60 €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802,20 €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2 439,60 €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STRATE groupe 2 : 50% Hêtre, 26% None, 19% Chêne, 5% Châtaignier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5,370.28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59,867.70 €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1.69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11.15 €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94.07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1 048,65 €/ha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57.09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4 223,00 €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9 900,80 €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521,40 €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4 276,00 €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778,80 €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9 821,30 €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6 520,80 €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4 409,40 €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5 166,40 €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8 634,00 €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3 499,80 €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357,40 €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8,2000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i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j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k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l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3,9700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1,2300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