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Crepey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12,38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4 953,08 €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7 924,93 €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2_2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165,71 €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2 958,43 €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19,17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2 530,58 €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153,33 €/ha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