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CARAMAN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DOU-15-060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14.66666666666666666666666667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4,12 %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3,53 %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SPE-10-070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9.142857142857142857142857143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20 250,00 €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1,93 %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1,33 %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