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DELANS_ET_LE_VAL_DE_BITHAINE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