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MAILLARD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3 974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352 221,73 €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1,87 m³/t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88,62 €/m³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278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24 653,82 €/ha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14,2867 ha</w:t>
            </w:r>
          </w:p>
        </w:tc>
        <w:tc>
          <w:tcPr>
            <w:tcW w:type="dxa" w:w="4320"/>
          </w:tcPr>
          <w:p/>
        </w:tc>
      </w:tr>
    </w:tbl>
    <w:p>
      <w:r/>
    </w:p>
    <w:p>
      <w:pPr>
        <w:jc w:val="center"/>
        <w:shd w:fill="F2F4F1"/>
      </w:pPr>
      <w:r>
        <w:rPr>
          <w:b w:val="0"/>
          <w:i w:val="0"/>
          <w:sz w:val="22"/>
        </w:rPr>
        <w:t>STRATE FRR : 100% Douglas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3,666.29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329,833.91 €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2.19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89.96 €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408.79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36 776,11 €/ha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8.97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1 024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1 644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139 752,75 €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652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2 022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3,10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94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190 081,16 €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6,3690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2,5997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MFT : 43% Chêne, 37% Merisier, 20% Frêne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220.46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19,414.17 €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0.77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88.06 €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59.30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5 221,67 €/ha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3.72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6 883,20 €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5 640,00 €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3 578,40 €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Merisier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117,12 €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Merisier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99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71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0,71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3 195,45 €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0,7150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3,0030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EPC : 100% Epicéa commun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87.64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2,973.65 €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0.55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33.93 €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54.78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1 858,53 €/ha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1.60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Epicéa commun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125,00 €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Epicéa commun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127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81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0,64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2 848,65 €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EPC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1,6000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