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CASSANA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3 098,11 €/ha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32 251,35 €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24,23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7 069,55 €/ha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171 295,17 €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49,60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7 381,20 €/ha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366 107,55 €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569 654,07 €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7 205,77 €/ha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40 280,25 €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3 767,90 €/ha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5 538,81 €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7 629,64 €/ha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75 914,92 €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6 426,98 €/ha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25 065,22 €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16,22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6 781,90 €/ha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110 002,42 €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7 266,85 €/ha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15 187,72 €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7 244,48 €/ha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16 734,75 €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11,98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7 946,60 €/ha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95 200,27 €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7 629,64 €/ha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44 709,69 €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2 987,98 €/ha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8 993,82 €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7 440,28 €/ha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33 704,47 €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2 987,98 €/ha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17 718,72 €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02_02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11,40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7 070,44 €/ha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80 603,02 €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569 654,07 €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