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Bois du Grand Parc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130,6941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46,2808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11,3932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8,6063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5,5204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2,5490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2,0324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0,1277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207,2039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207,0762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0,1277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207,2039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10,6791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0,5922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5,0857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3,5148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0,0682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8,5920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0,2409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0,8333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2,5490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0,2777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0,9060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2,6538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3,2793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0,0868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0,5785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8,4617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2,0267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1,7591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5,2948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5,0098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0,2944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6,4680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Plantation/Regeneration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7,0320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4,7719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4,0962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7,8804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irégulière mélangée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1,4134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2,6543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2,5751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4,6099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0,5514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7,6313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0,7353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0,7492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9,5786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3,6061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1,7915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5,3832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5,5514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5,1083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Emprise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0,0595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2,2492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4,4664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2,4258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12,2875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1,4333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5,3620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1,1862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3,0848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4,8082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1,8592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4,6825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0,2813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futaie-taillis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9,5984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207,2039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