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5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Querimont</w:t>
      </w:r>
      <w:r>
        <w:br/>
      </w:r>
      <w:r>
        <w:rPr>
          <w:b/>
          <w:i/>
          <w:color w:val="4B5A4B"/>
          <w:sz w:val="28"/>
        </w:rPr>
        <w:t>Valeurs forfaitaires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MATURE</w:t>
      </w:r>
    </w:p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FRF_HD+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120,73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42,22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50 972,95 €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422,22 €/ha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FRF_HD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43,99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21 995,80 €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500,00 €/ha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FRF_HD-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14,87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91,67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13 630,83 €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916,67 €/ha</w:t>
            </w:r>
          </w:p>
        </w:tc>
      </w:tr>
    </w:tbl>
    <w:p>
      <w:r>
        <w:br/>
      </w:r>
    </w:p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IMMATURE</w:t>
      </w:r>
    </w:p>
    <w:p>
      <w:r>
        <w:br/>
      </w:r>
      <w:r>
        <w:rPr>
          <w:b/>
          <w:i w:val="0"/>
          <w:color w:val="737D6E"/>
          <w:sz w:val="28"/>
        </w:rPr>
        <w:t>Valeur de la régénération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221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215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238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209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221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</w:t>
            </w:r>
          </w:p>
        </w:tc>
        <w:tc>
          <w:tcPr>
            <w:tcW w:type="dxa" w:w="215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0,80 ha</w:t>
            </w:r>
          </w:p>
        </w:tc>
        <w:tc>
          <w:tcPr>
            <w:tcW w:type="dxa" w:w="238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1 602,00 €</w:t>
            </w:r>
          </w:p>
        </w:tc>
        <w:tc>
          <w:tcPr>
            <w:tcW w:type="dxa" w:w="209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2 000,00 €/ha</w:t>
            </w:r>
          </w:p>
        </w:tc>
      </w:tr>
    </w:tbl>
    <w:p>
      <w:r>
        <w:br w:type="page"/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