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BROONS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7 234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582 012,22 €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1,88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80,46 €/m³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229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18 440,81 €/ha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31,5611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12 : 88% Douglas, 7% Pin sylvestre, 5% Pin laricio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6,568.26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492,496.37 €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74.98 €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287.44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21 552,41 €/ha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22.85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3 570,35 €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81 471,00 €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373 975,35 €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9 911,70 €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7 771,20 €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989,95 €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373,34 €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6 563,48 €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7 870,00 €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11 : 93% Chêne, 6% Châtaignier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665.24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89,515.85 €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134.56 €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76.38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10 277,37 €/ha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8.71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30 565,80 €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22 814,40 €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7 918,80 €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21 648,00 €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377,65 €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2 682,40 €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