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POTENCE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10 461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1 219 483,40 €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1,84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116,58 €/m³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170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19 820,70 €/ha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61,5258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MFT : 99% Chêne, 1%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3,525.18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614,665.10 €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174.36 €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86.29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15 045,17 €/ha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40.85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13 227,60 €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228 862,00 €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218 324,00 €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10 624,95 €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112 634,40 €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20 140,00 €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8 063,20 €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1 494,35 €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792,45 €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4,1443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2,7942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3,9979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0,9829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1,3665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2,2652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1,9488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1,0789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FRR_DG_VC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6,935.67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604,818.30 €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2.10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87.20 €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335.52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29 259,11 €/ha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20.67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82 793,25 €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516 863,70 €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5 161,35 €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Y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X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5,8486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6,6317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X1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2,7324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