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CLEFMONT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47 300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3 528 506,20 €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1,26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74,60 €/m³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242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18 088,69 €/ha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195,0670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FRRADOU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40,702.27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3,230,773.05 €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79.38 €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318.36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25 269,79 €/ha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127.85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7 357,20 €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635 118,90 €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1 829 799,90 €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14 693,10 €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346 423,35 €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397 380,60 €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4,9156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4,2404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4,6565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3,7620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4,9821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5,2146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4,8336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4,6061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1,7712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FRRAEPC : 95% Epicéa commun, 5%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3,680.78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150,146.45 €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40.79 €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157.73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6 434,03 €/ha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23.34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4 622,15 €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10 628,10 €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10 369,60 €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107 718,80 €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16 807,80 €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5,2927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2,2736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91% Hêtre, 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818.96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33,879.60 €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41.37 €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27.33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1 130,48 €/ha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29.97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2 433,60 €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10 029,60 €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2 182,00 €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5 374,40 €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4,4663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16,3474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2,2664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MRT : 49% Sapin pectiné, 16% Epicéa commun, 14% Pin laricio, 10% Hêtre, 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2,058.87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111,621.30 €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54.21 €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151.35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8 205,28 €/ha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13.60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16 410,60 €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2 691,15 €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3 866,80 €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11 552,40 €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10 938,40 €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34 231,20 €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13 059,20 €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plane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2 611,70 €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871,85 €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2 026,20 €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3 461,00 €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1,5684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0,8374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FRRASPE : 100%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39.17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2,085.80 €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53.25 €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127.67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6 798,57 €/ha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0.31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445,60 €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1 619,40 €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mixte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0,3068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